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6A" w:rsidRDefault="0082236A" w:rsidP="0082236A">
      <w:pPr>
        <w:jc w:val="center"/>
      </w:pPr>
      <w:r>
        <w:t xml:space="preserve">ΟΔΗΓΙΕΣ ΕΟΔΥ για την καραντίνα </w:t>
      </w:r>
    </w:p>
    <w:p w:rsidR="00AD32FF" w:rsidRPr="002D7345" w:rsidRDefault="00AD32FF" w:rsidP="002D7345">
      <w:r>
        <w:t xml:space="preserve">Όλα τα άτομα που εμπίπτουν στην κατηγορία των στενών </w:t>
      </w:r>
      <w:r w:rsidRPr="0082236A">
        <w:rPr>
          <w:b/>
        </w:rPr>
        <w:t xml:space="preserve">επαφών </w:t>
      </w:r>
      <w:r w:rsidR="0082236A" w:rsidRPr="0082236A">
        <w:rPr>
          <w:b/>
        </w:rPr>
        <w:t>(</w:t>
      </w:r>
      <w:r w:rsidR="002D7345" w:rsidRPr="0082236A">
        <w:rPr>
          <w:b/>
        </w:rPr>
        <w:t>τμήματα Β2, Β θετικής 2)</w:t>
      </w:r>
      <w:r w:rsidR="002D7345">
        <w:t xml:space="preserve"> και έχουν </w:t>
      </w:r>
      <w:r>
        <w:t xml:space="preserve"> απομακρυνθ</w:t>
      </w:r>
      <w:r w:rsidR="002D7345">
        <w:t>εί</w:t>
      </w:r>
      <w:r>
        <w:t xml:space="preserve"> από το σχολείο </w:t>
      </w:r>
      <w:r w:rsidR="002D7345" w:rsidRPr="002D7345">
        <w:rPr>
          <w:b/>
        </w:rPr>
        <w:t>παραμέ</w:t>
      </w:r>
      <w:r w:rsidRPr="002D7345">
        <w:rPr>
          <w:b/>
        </w:rPr>
        <w:t xml:space="preserve">νουν στο σπίτι τους </w:t>
      </w:r>
      <w:r w:rsidR="002D7345">
        <w:rPr>
          <w:b/>
        </w:rPr>
        <w:t>σε 14ήμερη «καραντίνα»</w:t>
      </w:r>
      <w:r w:rsidR="002D7345">
        <w:t>.</w:t>
      </w:r>
    </w:p>
    <w:p w:rsidR="00AD32FF" w:rsidRDefault="00AD32FF">
      <w:pPr>
        <w:rPr>
          <w:lang w:val="en-US"/>
        </w:rPr>
      </w:pPr>
      <w:r>
        <w:t xml:space="preserve">Κατά τη διάρκεια της 14ήμερης καραντίνας, οι μαθητές και τα μέλη του προσωπικού που είναι στενές επαφές επιβεβαιωμένου κρούσματος πρέπει: </w:t>
      </w:r>
    </w:p>
    <w:p w:rsidR="002D7345" w:rsidRDefault="00AD32FF">
      <w:r>
        <w:t>▪ Να εφαρμόζουν σχολαστικά τα μέτρα</w:t>
      </w:r>
      <w:r w:rsidR="002D7345">
        <w:t>:</w:t>
      </w:r>
    </w:p>
    <w:p w:rsidR="002D7345" w:rsidRDefault="00AD32FF">
      <w:r>
        <w:t xml:space="preserve"> </w:t>
      </w:r>
      <w:r w:rsidR="002D7345">
        <w:t xml:space="preserve">(1) Να απέχουν από όλες τις εξωσχολικές δραστηριότητες (π.χ. φροντιστήριο, ξένες γλώσσες, αθλητισμός) καθώς και από κάθε άλλη «ανεπίσημη» μετακίνηση ή επαφή με άτομα εκτός του οικιακού περιβάλλοντος (π.χ. περίπατοι ή παιχνίδι έξω, συναντήσεις με άλλους κλπ.). </w:t>
      </w:r>
    </w:p>
    <w:p w:rsidR="002D7345" w:rsidRDefault="002D7345">
      <w:r>
        <w:t>(2) Να αποφεύγουν με τη μεγαλύτερη δυνατή αυστηρότητα κάθε επαφή με ευάλωτα άτομα που ανήκουν σε ομάδες υψηλού κινδύνου για σοβαρή νόσο.</w:t>
      </w:r>
    </w:p>
    <w:p w:rsidR="00AD32FF" w:rsidRDefault="002D7345">
      <w:r>
        <w:t xml:space="preserve"> (3) Να λαμβάνουν συστηματικά μέτρα προφύλαξης κατά την επαφή τους με τα άτομα που διαμένουν μαζί τους στην ίδια κατοικία: χρήση ιδιαίτερου δωματίου εάν είναι δυνατόν, αυστηρή τήρηση απόστασης πάνω από 1,5 μέτρο και χρήση μάσκας από όλους στο σπίτι σε κάθε άμεση επικοινωνία, συστηματική υγιεινή χεριών από όλους στο σπίτι (συχνό πλύσιμο με σαπούνι και νερό ή/και εφαρμογή αντισηπτικού χεριών), καλός αερισμός των χώρων του σπιτιού, χρήση διαφορετικής τουαλέτας ή και μπάνιου εάν είναι δυνατόν, χωριστή λήψη γευμάτων (στο ιδιαίτερο δωμάτιό του εφόσον είναι δυνατό), εφαρμογή απολυμαντικού σε επιφάνειες κοινής χρήσης (π.χ. κοινή οικιακή χλωρίνη σε αραίωση 1:50 – βλ. </w:t>
      </w:r>
      <w:hyperlink r:id="rId5" w:history="1">
        <w:r w:rsidRPr="001543EF">
          <w:rPr>
            <w:rStyle w:val="-"/>
          </w:rPr>
          <w:t>https://eody.gov.gr/neos-koronaios-covid-19/</w:t>
        </w:r>
      </w:hyperlink>
      <w:r>
        <w:t>).</w:t>
      </w:r>
    </w:p>
    <w:p w:rsidR="00AD32FF" w:rsidRPr="00AD32FF" w:rsidRDefault="00AD32FF"/>
    <w:p w:rsidR="0082236A" w:rsidRDefault="00AD32FF" w:rsidP="0082236A">
      <w:r w:rsidRPr="00AD32FF">
        <w:t>-</w:t>
      </w:r>
      <w:r>
        <w:t xml:space="preserve"> Να παρακολουθούν στενά την υγεία τους –και με συχνή θερμομέτρηση– για </w:t>
      </w:r>
      <w:r w:rsidR="0082236A">
        <w:t xml:space="preserve">τυχόν εκδήλωση συμπτωμάτων που μπορεί να εμφανιστούν σε παιδί με COVID-19. </w:t>
      </w:r>
    </w:p>
    <w:p w:rsidR="0082236A" w:rsidRPr="0082236A" w:rsidRDefault="0082236A" w:rsidP="0082236A"/>
    <w:p w:rsidR="00AD32FF" w:rsidRPr="0082236A" w:rsidRDefault="00AD32FF" w:rsidP="0082236A">
      <w:pPr>
        <w:pStyle w:val="a6"/>
        <w:numPr>
          <w:ilvl w:val="0"/>
          <w:numId w:val="8"/>
        </w:numPr>
        <w:rPr>
          <w:lang w:val="en-US"/>
        </w:rPr>
      </w:pPr>
      <w:r>
        <w:t xml:space="preserve">Εάν, κατά τη διάρκεια της 14ήμερης καραντίνας, άτομο που έχει θεωρηθεί στενή επαφή επιβεβαιωμένου κρούσματος εκδηλώσει συμπτώματα που πληρούν τα κριτήρια του ύποπτου κρούσματος COVID-19 (βλ. Παράρτημα, πρώτη ενότητα), θα πρέπει να υποβληθεί σε εργαστηριακό διαγνωστικό έλεγχο. </w:t>
      </w:r>
    </w:p>
    <w:p w:rsidR="00AD32FF" w:rsidRPr="00AD32FF" w:rsidRDefault="00AD32FF" w:rsidP="002D7345">
      <w:pPr>
        <w:pStyle w:val="a6"/>
        <w:numPr>
          <w:ilvl w:val="0"/>
          <w:numId w:val="7"/>
        </w:numPr>
      </w:pPr>
      <w:r>
        <w:t xml:space="preserve"> Εάν το διαγνωστικό</w:t>
      </w:r>
      <w:r w:rsidRPr="00AD32FF">
        <w:t xml:space="preserve"> </w:t>
      </w:r>
      <w:r>
        <w:t xml:space="preserve">τεστ είναι θετικό: αντιμετωπίζεται ως επιβεβαιωμένο κρούσμα COVID-19. </w:t>
      </w:r>
    </w:p>
    <w:p w:rsidR="00AD32FF" w:rsidRPr="00AD32FF" w:rsidRDefault="00AD32FF" w:rsidP="002D7345">
      <w:pPr>
        <w:pStyle w:val="a6"/>
        <w:numPr>
          <w:ilvl w:val="0"/>
          <w:numId w:val="7"/>
        </w:numPr>
      </w:pPr>
      <w:r>
        <w:t>Εάν το διαγνωστικό</w:t>
      </w:r>
      <w:r w:rsidRPr="00AD32FF">
        <w:t xml:space="preserve"> </w:t>
      </w:r>
      <w:r>
        <w:t xml:space="preserve">τεστ είναι αρνητικό: παραμένει σε καραντίνα έως την ολοκλήρωση του 14ημέρου. </w:t>
      </w:r>
    </w:p>
    <w:p w:rsidR="00AD32FF" w:rsidRPr="00AD32FF" w:rsidRDefault="00AD32FF" w:rsidP="00AD32FF">
      <w:pPr>
        <w:pStyle w:val="a6"/>
        <w:numPr>
          <w:ilvl w:val="0"/>
          <w:numId w:val="4"/>
        </w:numPr>
      </w:pPr>
      <w:r w:rsidRPr="00AD32FF">
        <w:rPr>
          <w:b/>
        </w:rPr>
        <w:t xml:space="preserve">Άτομο που είναι στενή επαφή επιβεβαιωμένου κρούσματος COVID-19 και παραμένει </w:t>
      </w:r>
      <w:proofErr w:type="spellStart"/>
      <w:r w:rsidRPr="00AD32FF">
        <w:rPr>
          <w:b/>
        </w:rPr>
        <w:t>ασυμπτωματικό</w:t>
      </w:r>
      <w:proofErr w:type="spellEnd"/>
      <w:r w:rsidRPr="00AD32FF">
        <w:rPr>
          <w:b/>
        </w:rPr>
        <w:t xml:space="preserve"> δεν συνιστάται να υποβληθεί σε έλεγχο για COVID19 ούτε συνιστάται γενικευμένος εργαστηριακός έλεγχος των </w:t>
      </w:r>
      <w:proofErr w:type="spellStart"/>
      <w:r w:rsidRPr="00AD32FF">
        <w:rPr>
          <w:b/>
        </w:rPr>
        <w:t>ασυμπτωματικών</w:t>
      </w:r>
      <w:proofErr w:type="spellEnd"/>
      <w:r w:rsidRPr="00AD32FF">
        <w:rPr>
          <w:b/>
        </w:rPr>
        <w:t xml:space="preserve"> στενών επαφών στο σχολείο</w:t>
      </w:r>
      <w:r>
        <w:t xml:space="preserve"> </w:t>
      </w:r>
    </w:p>
    <w:p w:rsidR="00AD32FF" w:rsidRPr="00AD32FF" w:rsidRDefault="00AD32FF" w:rsidP="00AD32FF">
      <w:pPr>
        <w:pStyle w:val="a6"/>
        <w:numPr>
          <w:ilvl w:val="0"/>
          <w:numId w:val="4"/>
        </w:numPr>
      </w:pPr>
      <w:r>
        <w:lastRenderedPageBreak/>
        <w:t xml:space="preserve">Εάν κατά τη διάρκεια της 14ήμερης καραντίνας, </w:t>
      </w:r>
      <w:proofErr w:type="spellStart"/>
      <w:r>
        <w:t>ασυμπτωματικό</w:t>
      </w:r>
      <w:proofErr w:type="spellEnd"/>
      <w:r>
        <w:t xml:space="preserve"> άτομο που έχει θεωρηθεί στενή επαφή, κάνει με δική του πρωτοβουλία ή για εξατομικευμένους </w:t>
      </w:r>
      <w:r w:rsidR="006E0D86">
        <w:t xml:space="preserve"> </w:t>
      </w:r>
      <w:r>
        <w:t xml:space="preserve">λόγους εργαστηριακό έλεγχο, τότε: </w:t>
      </w:r>
    </w:p>
    <w:p w:rsidR="00AD32FF" w:rsidRPr="00AD32FF" w:rsidRDefault="00AD32FF" w:rsidP="002D7345">
      <w:pPr>
        <w:pStyle w:val="a6"/>
        <w:numPr>
          <w:ilvl w:val="1"/>
          <w:numId w:val="6"/>
        </w:numPr>
      </w:pPr>
      <w:r>
        <w:t xml:space="preserve"> Εάν το διαγνωστικό τεστ είναι θετικό: παραμένει σε κατ’ οίκον απομόνωση για 10 ημέρες από την ημέρα διενέργειας του τεστ (εφόσον παραμένει </w:t>
      </w:r>
      <w:proofErr w:type="spellStart"/>
      <w:r>
        <w:t>ασυμπτωματικό</w:t>
      </w:r>
      <w:proofErr w:type="spellEnd"/>
      <w:r>
        <w:t>).</w:t>
      </w:r>
    </w:p>
    <w:p w:rsidR="00AD32FF" w:rsidRDefault="00AD32FF" w:rsidP="002D7345">
      <w:pPr>
        <w:pStyle w:val="a6"/>
        <w:numPr>
          <w:ilvl w:val="1"/>
          <w:numId w:val="6"/>
        </w:numPr>
        <w:rPr>
          <w:lang w:val="en-US"/>
        </w:rPr>
      </w:pPr>
      <w:r>
        <w:t xml:space="preserve"> Εάν το διαγνωστικό τεστ είναι αρνητικό: παραμένει σε καραντίνα έως την ολοκλήρωση του 14ημέρου (καθώς ενδέχεται το τεστ να γίνει αργότερα θετικό).</w:t>
      </w:r>
    </w:p>
    <w:p w:rsidR="00AD32FF" w:rsidRPr="00AD32FF" w:rsidRDefault="00AD32FF" w:rsidP="00AD32FF">
      <w:pPr>
        <w:pStyle w:val="a6"/>
        <w:numPr>
          <w:ilvl w:val="0"/>
          <w:numId w:val="4"/>
        </w:numPr>
      </w:pPr>
      <w:r>
        <w:t xml:space="preserve">  Επισημαίνεται ότι </w:t>
      </w:r>
      <w:r w:rsidRPr="006E0D86">
        <w:rPr>
          <w:b/>
        </w:rPr>
        <w:t xml:space="preserve">τεστ που γίνεται σε </w:t>
      </w:r>
      <w:proofErr w:type="spellStart"/>
      <w:r w:rsidRPr="006E0D86">
        <w:rPr>
          <w:b/>
        </w:rPr>
        <w:t>ασυμπτωματικό</w:t>
      </w:r>
      <w:proofErr w:type="spellEnd"/>
      <w:r w:rsidRPr="006E0D86">
        <w:rPr>
          <w:b/>
        </w:rPr>
        <w:t xml:space="preserve"> άτομο αμέσως μετά (και τυπικά πριν την 5η–7 η ημέρα) από την επαφή με μεταδοτικό ασθενή, έχει πολλές πιθανότητες ψευδώς αρνητικού αποτελέσματος</w:t>
      </w:r>
      <w:r>
        <w:t>.</w:t>
      </w:r>
    </w:p>
    <w:p w:rsidR="00AD32FF" w:rsidRPr="00AD32FF" w:rsidRDefault="00AD32FF" w:rsidP="00AD32FF">
      <w:pPr>
        <w:pStyle w:val="a6"/>
        <w:numPr>
          <w:ilvl w:val="0"/>
          <w:numId w:val="4"/>
        </w:numPr>
      </w:pPr>
      <w:r>
        <w:t xml:space="preserve">Τα άτομα που βρίσκονται στον στενό περίγυρο στενών επαφών επιβεβαιωμένου κρούσματος COVID-19 –και ως εκ τούτου αποτελούν </w:t>
      </w:r>
      <w:r w:rsidRPr="00AD32FF">
        <w:rPr>
          <w:b/>
        </w:rPr>
        <w:t>στενές επαφές των στενών επαφών του κρούσματος</w:t>
      </w:r>
      <w:r>
        <w:t xml:space="preserve">– </w:t>
      </w:r>
      <w:r w:rsidRPr="006E0D86">
        <w:rPr>
          <w:b/>
        </w:rPr>
        <w:t>δεν συνιστάται να απέχουν από το σχολείο</w:t>
      </w:r>
      <w:r>
        <w:t xml:space="preserve"> ή να υποβληθούν σε διαγνωστικό τεστ για COVID-19.</w:t>
      </w:r>
    </w:p>
    <w:p w:rsidR="00AD32FF" w:rsidRPr="00AD32FF" w:rsidRDefault="00AD32FF" w:rsidP="00AD32FF">
      <w:pPr>
        <w:pStyle w:val="a6"/>
        <w:numPr>
          <w:ilvl w:val="0"/>
          <w:numId w:val="4"/>
        </w:numPr>
      </w:pPr>
      <w:r>
        <w:t>Τα άτομα (μαθητές ή μέλη του προσωπικού) που θεωρούνται στενές επαφές επιβεβαιωμένου κρούσματος μπορούν να επιστρέψουν στο σχολείο αφού περάσουν οι 14 ημέρες της καραντίνας.</w:t>
      </w:r>
    </w:p>
    <w:p w:rsidR="00AD32FF" w:rsidRPr="00AD32FF" w:rsidRDefault="00AD32FF" w:rsidP="00AD32FF">
      <w:pPr>
        <w:pStyle w:val="a6"/>
        <w:numPr>
          <w:ilvl w:val="0"/>
          <w:numId w:val="4"/>
        </w:numPr>
      </w:pPr>
      <w:r>
        <w:t xml:space="preserve">Για την επιστροφή στο σχολείο δεν απαιτείται η πραγματοποίηση διαγνωστικού τεστ ούτε η προσκόμιση ιατρικής βεβαίωσης στο σχολείο. </w:t>
      </w:r>
    </w:p>
    <w:p w:rsidR="00AD32FF" w:rsidRPr="00AD32FF" w:rsidRDefault="00AD32FF" w:rsidP="00AD32FF">
      <w:pPr>
        <w:pStyle w:val="a6"/>
        <w:numPr>
          <w:ilvl w:val="0"/>
          <w:numId w:val="4"/>
        </w:numPr>
      </w:pPr>
      <w:r>
        <w:t xml:space="preserve">Οι 14 ημέρες καραντίνας πρέπει να τηρούνται ακόμη και αν το άτομο που είναι στενή επαφή κρούσματος πραγματοποιήσει (πριν τη συμπλήρωση του 14ήμερου διαστήματος) διαγνωστικό τεστ που είναι αρνητικό – γιατί ενδέχεται το τεστ να γίνει θετικό μέχρι τη 14η ημέρα. </w:t>
      </w:r>
    </w:p>
    <w:p w:rsidR="002E78D0" w:rsidRDefault="00AD32FF" w:rsidP="00AD32FF">
      <w:pPr>
        <w:pStyle w:val="a6"/>
        <w:numPr>
          <w:ilvl w:val="0"/>
          <w:numId w:val="4"/>
        </w:numPr>
      </w:pPr>
      <w:r>
        <w:t>Η διάρκεια της καραντίνας των επαφών ενός κρούσματος σχετίζεται με την «περίοδο επώασης» της λοίμωξης, δηλ. το χρονικό διάστημα μεταξύ της έκθεσης στον ιό και της εμφάνισης εκδηλώσεων της νόσου (για COVID-19: 1 έως 14 ημέρες).</w:t>
      </w:r>
    </w:p>
    <w:p w:rsidR="0082236A" w:rsidRDefault="0082236A" w:rsidP="0082236A"/>
    <w:p w:rsidR="0082236A" w:rsidRDefault="0082236A" w:rsidP="0082236A"/>
    <w:p w:rsidR="0082236A" w:rsidRDefault="0082236A" w:rsidP="0082236A">
      <w:r w:rsidRPr="006E0D86">
        <w:rPr>
          <w:b/>
          <w:highlight w:val="yellow"/>
        </w:rPr>
        <w:t>Κλινικά κριτήρια χαρακτηρισμού παιδιού ως ύποπτου κρούσματοςCOVID-19</w:t>
      </w:r>
    </w:p>
    <w:p w:rsidR="0082236A" w:rsidRDefault="0082236A" w:rsidP="0082236A">
      <w:r>
        <w:t xml:space="preserve"> Ένα τουλάχιστον από τα παρακάτω συμπτώματα:</w:t>
      </w:r>
    </w:p>
    <w:p w:rsidR="0082236A" w:rsidRDefault="0082236A" w:rsidP="0082236A">
      <w:r>
        <w:t xml:space="preserve"> - πυρετός (Θ &gt; 37,5oC) με ή χωρίς </w:t>
      </w:r>
      <w:proofErr w:type="spellStart"/>
      <w:r>
        <w:t>συνοδά</w:t>
      </w:r>
      <w:proofErr w:type="spellEnd"/>
      <w:r>
        <w:t xml:space="preserve"> συμπτώματα</w:t>
      </w:r>
    </w:p>
    <w:p w:rsidR="0082236A" w:rsidRDefault="0082236A" w:rsidP="0082236A">
      <w:r>
        <w:t xml:space="preserve"> - βήχας - δύσπνοια - ανοσμία/</w:t>
      </w:r>
      <w:proofErr w:type="spellStart"/>
      <w:r>
        <w:t>αγευσία</w:t>
      </w:r>
      <w:proofErr w:type="spellEnd"/>
      <w:r>
        <w:t xml:space="preserve"> με αιφνίδια έναρξη</w:t>
      </w:r>
    </w:p>
    <w:p w:rsidR="0082236A" w:rsidRDefault="0082236A" w:rsidP="0082236A">
      <w:r>
        <w:t xml:space="preserve"> - γαστρεντερικά συμπτώματα (διάρροια, έμετος)</w:t>
      </w:r>
    </w:p>
    <w:p w:rsidR="0082236A" w:rsidRDefault="0082236A" w:rsidP="0082236A">
      <w:r w:rsidRPr="0082236A">
        <w:rPr>
          <w:b/>
        </w:rPr>
        <w:t xml:space="preserve"> ΚΑΙ</w:t>
      </w:r>
      <w:r>
        <w:t xml:space="preserve"> απουσία εναλλακτικής διάγνωσης (π.χ. στρεπτοκοκκική αμυγδαλίτιδα, ουρολοίμωξη κλπ.)</w:t>
      </w:r>
    </w:p>
    <w:p w:rsidR="0082236A" w:rsidRDefault="0082236A" w:rsidP="0082236A"/>
    <w:p w:rsidR="0082236A" w:rsidRDefault="0082236A" w:rsidP="0082236A"/>
    <w:p w:rsidR="0082236A" w:rsidRDefault="0082236A" w:rsidP="0082236A">
      <w:r>
        <w:t xml:space="preserve"> </w:t>
      </w:r>
      <w:r w:rsidRPr="006E0D86">
        <w:rPr>
          <w:b/>
          <w:highlight w:val="yellow"/>
        </w:rPr>
        <w:t>Συμπτώματα που μπορεί να εμφανιστούν σε παιδιά με COVID-19</w:t>
      </w:r>
      <w:r>
        <w:t xml:space="preserve"> </w:t>
      </w:r>
    </w:p>
    <w:p w:rsidR="0082236A" w:rsidRDefault="0082236A" w:rsidP="0082236A">
      <w:r>
        <w:t xml:space="preserve">Σε παιδιά με COVID-19 μπορεί να εμφανιστούν αφενός τα συμπτώματα της προηγούμενης ενότητας (που αποτελούν τα κριτήρια ύποπτου κρούσματος) και αφετέρου ορισμένα άλλα συμπτώματα, τα οποία περιλαμβάνουν: </w:t>
      </w:r>
    </w:p>
    <w:p w:rsidR="0082236A" w:rsidRPr="0082236A" w:rsidRDefault="0082236A" w:rsidP="0082236A">
      <w:r>
        <w:t>πονοκέφαλο, πονόλαιμο, μυαλγίες, ρίγος, καταβολή δυνάμεων, κοιλιακό πόνο, ναυτία. Ωστόσο, τα συμπτώματα αυτά από μόνα τους, δηλαδή χωρίς κάποιο από τα συμπτώματα της προηγούμενης ενότητας, ΔΕΝ αρκούν για να χαρακτηριστεί ένα παιδί ως ύποπτο κρούσμα COVID-19.</w:t>
      </w:r>
    </w:p>
    <w:p w:rsidR="0082236A" w:rsidRPr="00AD32FF" w:rsidRDefault="0082236A" w:rsidP="0082236A"/>
    <w:sectPr w:rsidR="0082236A" w:rsidRPr="00AD32FF" w:rsidSect="002E78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31031"/>
    <w:multiLevelType w:val="hybridMultilevel"/>
    <w:tmpl w:val="D748682A"/>
    <w:lvl w:ilvl="0" w:tplc="04080001">
      <w:start w:val="1"/>
      <w:numFmt w:val="bullet"/>
      <w:lvlText w:val=""/>
      <w:lvlJc w:val="left"/>
      <w:pPr>
        <w:ind w:left="720" w:hanging="360"/>
      </w:pPr>
      <w:rPr>
        <w:rFonts w:ascii="Symbol" w:hAnsi="Symbol" w:hint="default"/>
      </w:rPr>
    </w:lvl>
    <w:lvl w:ilvl="1" w:tplc="602258E0">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9EC72D7"/>
    <w:multiLevelType w:val="hybridMultilevel"/>
    <w:tmpl w:val="C9F428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1D876EE"/>
    <w:multiLevelType w:val="hybridMultilevel"/>
    <w:tmpl w:val="C9EC18BE"/>
    <w:lvl w:ilvl="0" w:tplc="EA380C9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DE77CEE"/>
    <w:multiLevelType w:val="hybridMultilevel"/>
    <w:tmpl w:val="174E58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70A202E"/>
    <w:multiLevelType w:val="hybridMultilevel"/>
    <w:tmpl w:val="B3CA02CE"/>
    <w:lvl w:ilvl="0" w:tplc="602258E0">
      <w:numFmt w:val="bullet"/>
      <w:lvlText w:val="-"/>
      <w:lvlJc w:val="left"/>
      <w:pPr>
        <w:ind w:left="1440" w:hanging="360"/>
      </w:pPr>
      <w:rPr>
        <w:rFonts w:ascii="Times New Roman" w:eastAsia="Times New Roman" w:hAnsi="Times New Roman" w:cs="Times New Roman" w:hint="default"/>
      </w:rPr>
    </w:lvl>
    <w:lvl w:ilvl="1" w:tplc="602258E0">
      <w:numFmt w:val="bullet"/>
      <w:lvlText w:val="-"/>
      <w:lvlJc w:val="left"/>
      <w:pPr>
        <w:ind w:left="2160" w:hanging="360"/>
      </w:pPr>
      <w:rPr>
        <w:rFonts w:ascii="Times New Roman" w:eastAsia="Times New Roman" w:hAnsi="Times New Roman" w:cs="Times New Roman"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2873ECE"/>
    <w:multiLevelType w:val="hybridMultilevel"/>
    <w:tmpl w:val="3C283900"/>
    <w:lvl w:ilvl="0" w:tplc="453EBBB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5845132"/>
    <w:multiLevelType w:val="hybridMultilevel"/>
    <w:tmpl w:val="6168413C"/>
    <w:lvl w:ilvl="0" w:tplc="602258E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C733F8A"/>
    <w:multiLevelType w:val="hybridMultilevel"/>
    <w:tmpl w:val="99248756"/>
    <w:lvl w:ilvl="0" w:tplc="CF7ECD7C">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D32FF"/>
    <w:rsid w:val="002744EB"/>
    <w:rsid w:val="002D7345"/>
    <w:rsid w:val="002E78D0"/>
    <w:rsid w:val="003B2F17"/>
    <w:rsid w:val="00423734"/>
    <w:rsid w:val="00537825"/>
    <w:rsid w:val="00650601"/>
    <w:rsid w:val="006E0D86"/>
    <w:rsid w:val="006F6FC7"/>
    <w:rsid w:val="00784934"/>
    <w:rsid w:val="0082236A"/>
    <w:rsid w:val="00A66864"/>
    <w:rsid w:val="00AD32FF"/>
    <w:rsid w:val="00EE39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4EB"/>
    <w:rPr>
      <w:rFonts w:ascii="Verdana" w:hAnsi="Verdana"/>
      <w:sz w:val="20"/>
    </w:rPr>
  </w:style>
  <w:style w:type="paragraph" w:styleId="1">
    <w:name w:val="heading 1"/>
    <w:basedOn w:val="a"/>
    <w:next w:val="a"/>
    <w:link w:val="1Char"/>
    <w:uiPriority w:val="9"/>
    <w:qFormat/>
    <w:rsid w:val="002744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744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2744EB"/>
    <w:pPr>
      <w:keepNext/>
      <w:keepLines/>
      <w:spacing w:before="200" w:after="0"/>
      <w:outlineLvl w:val="2"/>
    </w:pPr>
    <w:rPr>
      <w:rFonts w:asciiTheme="majorHAnsi" w:eastAsiaTheme="majorEastAsia" w:hAnsiTheme="majorHAnsi" w:cstheme="majorBidi"/>
      <w:b/>
      <w:bCs/>
      <w:color w:val="4F81BD" w:themeColor="accent1"/>
      <w:sz w:val="22"/>
    </w:rPr>
  </w:style>
  <w:style w:type="paragraph" w:styleId="4">
    <w:name w:val="heading 4"/>
    <w:basedOn w:val="a"/>
    <w:next w:val="a"/>
    <w:link w:val="4Char"/>
    <w:uiPriority w:val="9"/>
    <w:semiHidden/>
    <w:unhideWhenUsed/>
    <w:qFormat/>
    <w:rsid w:val="002744EB"/>
    <w:pPr>
      <w:keepNext/>
      <w:keepLines/>
      <w:spacing w:before="200" w:after="0"/>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Char"/>
    <w:uiPriority w:val="9"/>
    <w:semiHidden/>
    <w:unhideWhenUsed/>
    <w:qFormat/>
    <w:rsid w:val="002744EB"/>
    <w:pPr>
      <w:keepNext/>
      <w:keepLines/>
      <w:spacing w:before="200" w:after="0"/>
      <w:outlineLvl w:val="4"/>
    </w:pPr>
    <w:rPr>
      <w:rFonts w:asciiTheme="majorHAnsi" w:eastAsiaTheme="majorEastAsia" w:hAnsiTheme="majorHAnsi" w:cstheme="majorBidi"/>
      <w:color w:val="243F60"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744EB"/>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744EB"/>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2744EB"/>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2744EB"/>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2744EB"/>
    <w:rPr>
      <w:rFonts w:asciiTheme="majorHAnsi" w:eastAsiaTheme="majorEastAsia" w:hAnsiTheme="majorHAnsi" w:cstheme="majorBidi"/>
      <w:color w:val="243F60" w:themeColor="accent1" w:themeShade="7F"/>
    </w:rPr>
  </w:style>
  <w:style w:type="paragraph" w:styleId="a3">
    <w:name w:val="Title"/>
    <w:basedOn w:val="a"/>
    <w:next w:val="a"/>
    <w:link w:val="Char"/>
    <w:uiPriority w:val="10"/>
    <w:qFormat/>
    <w:rsid w:val="002744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2744EB"/>
    <w:rPr>
      <w:rFonts w:asciiTheme="majorHAnsi" w:eastAsiaTheme="majorEastAsia" w:hAnsiTheme="majorHAnsi" w:cstheme="majorBidi"/>
      <w:color w:val="17365D" w:themeColor="text2" w:themeShade="BF"/>
      <w:spacing w:val="5"/>
      <w:kern w:val="28"/>
      <w:sz w:val="52"/>
      <w:szCs w:val="52"/>
    </w:rPr>
  </w:style>
  <w:style w:type="character" w:styleId="a4">
    <w:name w:val="Strong"/>
    <w:basedOn w:val="a0"/>
    <w:uiPriority w:val="22"/>
    <w:qFormat/>
    <w:rsid w:val="002744EB"/>
    <w:rPr>
      <w:b/>
      <w:bCs/>
    </w:rPr>
  </w:style>
  <w:style w:type="character" w:styleId="a5">
    <w:name w:val="Emphasis"/>
    <w:basedOn w:val="a0"/>
    <w:uiPriority w:val="20"/>
    <w:qFormat/>
    <w:rsid w:val="002744EB"/>
    <w:rPr>
      <w:i/>
      <w:iCs/>
    </w:rPr>
  </w:style>
  <w:style w:type="paragraph" w:styleId="a6">
    <w:name w:val="List Paragraph"/>
    <w:basedOn w:val="a"/>
    <w:uiPriority w:val="34"/>
    <w:qFormat/>
    <w:rsid w:val="002744EB"/>
    <w:pPr>
      <w:ind w:left="720"/>
      <w:contextualSpacing/>
    </w:pPr>
  </w:style>
  <w:style w:type="paragraph" w:styleId="a7">
    <w:name w:val="TOC Heading"/>
    <w:basedOn w:val="1"/>
    <w:next w:val="a"/>
    <w:uiPriority w:val="39"/>
    <w:semiHidden/>
    <w:unhideWhenUsed/>
    <w:qFormat/>
    <w:rsid w:val="002744EB"/>
    <w:pPr>
      <w:outlineLvl w:val="9"/>
    </w:pPr>
  </w:style>
  <w:style w:type="character" w:styleId="-">
    <w:name w:val="Hyperlink"/>
    <w:basedOn w:val="a0"/>
    <w:uiPriority w:val="99"/>
    <w:unhideWhenUsed/>
    <w:rsid w:val="002D73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ody.gov.gr/neos-koronaios-covid-19/"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787</Words>
  <Characters>4252</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2021-02-14T09:53:00Z</dcterms:created>
  <dcterms:modified xsi:type="dcterms:W3CDTF">2021-02-14T18:10:00Z</dcterms:modified>
</cp:coreProperties>
</file>